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9CA1" w14:textId="34649979" w:rsidR="008F4FE7" w:rsidRPr="008F4FE7" w:rsidRDefault="008F4FE7" w:rsidP="008F4FE7">
      <w:pPr>
        <w:spacing w:line="257" w:lineRule="auto"/>
        <w:rPr>
          <w:rFonts w:ascii="Akrobat ExtraBold" w:hAnsi="Akrobat ExtraBold"/>
          <w:b/>
          <w:bCs/>
          <w:color w:val="000000" w:themeColor="text1"/>
          <w:sz w:val="48"/>
          <w:szCs w:val="48"/>
        </w:rPr>
      </w:pPr>
      <w:r w:rsidRPr="008F4FE7">
        <w:rPr>
          <w:rFonts w:ascii="Akrobat ExtraBold" w:eastAsia="Calibri" w:hAnsi="Akrobat ExtraBold" w:cs="Calibri"/>
          <w:b/>
          <w:bCs/>
          <w:color w:val="000000" w:themeColor="text1"/>
          <w:sz w:val="48"/>
          <w:szCs w:val="48"/>
        </w:rPr>
        <w:t>Fase 1</w:t>
      </w:r>
      <w:r>
        <w:rPr>
          <w:rFonts w:ascii="Akrobat ExtraBold" w:eastAsia="Calibri" w:hAnsi="Akrobat ExtraBold" w:cs="Calibri"/>
          <w:b/>
          <w:bCs/>
          <w:color w:val="000000" w:themeColor="text1"/>
          <w:sz w:val="48"/>
          <w:szCs w:val="48"/>
        </w:rPr>
        <w:t>: Aktiviteter</w:t>
      </w:r>
    </w:p>
    <w:p w14:paraId="1A637F84" w14:textId="77777777" w:rsidR="008F4FE7" w:rsidRPr="008F4FE7" w:rsidRDefault="008F4FE7" w:rsidP="008F4FE7">
      <w:pPr>
        <w:rPr>
          <w:rFonts w:ascii="Akrobat" w:eastAsiaTheme="minorEastAsia" w:hAnsi="Akrobat"/>
          <w:b/>
          <w:bCs/>
        </w:rPr>
      </w:pPr>
      <w:hyperlink r:id="rId6">
        <w:r w:rsidRPr="008F4FE7">
          <w:rPr>
            <w:rStyle w:val="Hyperlink"/>
            <w:rFonts w:ascii="Akrobat" w:eastAsia="Calibri" w:hAnsi="Akrobat" w:cs="Calibri"/>
          </w:rPr>
          <w:t>Aktiver viden om…</w:t>
        </w:r>
        <w:r w:rsidRPr="008F4FE7">
          <w:rPr>
            <w:rFonts w:ascii="Akrobat" w:hAnsi="Akrobat"/>
          </w:rPr>
          <w:br/>
        </w:r>
      </w:hyperlink>
      <w:r w:rsidRPr="008F4FE7">
        <w:rPr>
          <w:rFonts w:ascii="Akrobat" w:eastAsia="Calibri" w:hAnsi="Akrobat" w:cs="Calibri"/>
        </w:rPr>
        <w:t xml:space="preserve">Eleverne får her </w:t>
      </w:r>
      <w:r w:rsidRPr="008F4FE7">
        <w:rPr>
          <w:rFonts w:ascii="Akrobat" w:eastAsia="Calibri" w:hAnsi="Akrobat" w:cs="Calibri"/>
          <w:i/>
          <w:iCs/>
        </w:rPr>
        <w:t xml:space="preserve">tænketid </w:t>
      </w:r>
      <w:r w:rsidRPr="008F4FE7">
        <w:rPr>
          <w:rFonts w:ascii="Akrobat" w:eastAsia="Calibri" w:hAnsi="Akrobat" w:cs="Calibri"/>
        </w:rPr>
        <w:t xml:space="preserve">til individuelt at aktivere deres egen forforståelse gennem frie associationer. Det er vigtigt, at alle elevers bidrag er lige gyldige, og at opgaven er åben, så alle elever kan deltage og alles associationer får plads. Det kan </w:t>
      </w:r>
      <w:proofErr w:type="spellStart"/>
      <w:r w:rsidRPr="008F4FE7">
        <w:rPr>
          <w:rFonts w:ascii="Akrobat" w:eastAsia="Calibri" w:hAnsi="Akrobat" w:cs="Calibri"/>
        </w:rPr>
        <w:t>evt</w:t>
      </w:r>
      <w:proofErr w:type="spellEnd"/>
      <w:r w:rsidRPr="008F4FE7">
        <w:rPr>
          <w:rFonts w:ascii="Akrobat" w:eastAsia="Calibri" w:hAnsi="Akrobat" w:cs="Calibri"/>
        </w:rPr>
        <w:t xml:space="preserve"> være en mulighed at bruge flere sprog eller modaliteter (tegninger/ symboler) i denne første brainstorm. I parsamtalerne får eleverne mulighed for at samtale om deres associationer og forklare deres ord for hinanden. Alle elever er sprogligt aktive, sætter ord på deres egne tanker og begrunder deres associationer for andre. I sidste del af øvelsen er det elevernes eget input der skaber afsæt for systematik, og de får øje på semantiske sammenhænge i deres egen kategorisering. På baggrund af gruppernes formidling af egne systematikker, kan læreren bygge videre i og efter en klassesamtale, knytte nye fagbegreber til indholdet, og vende tilbage til den etablerede fælles referenceramme gennem det videre arbejde i forløbet. </w:t>
      </w:r>
    </w:p>
    <w:p w14:paraId="761FB92D" w14:textId="77777777" w:rsidR="008F4FE7" w:rsidRPr="008F4FE7" w:rsidRDefault="008F4FE7" w:rsidP="008F4FE7">
      <w:pPr>
        <w:rPr>
          <w:rFonts w:ascii="Akrobat" w:eastAsiaTheme="minorEastAsia" w:hAnsi="Akrobat"/>
          <w:b/>
          <w:bCs/>
          <w:color w:val="0563C1"/>
          <w:u w:val="single"/>
        </w:rPr>
      </w:pPr>
      <w:hyperlink r:id="rId7">
        <w:r w:rsidRPr="008F4FE7">
          <w:rPr>
            <w:rStyle w:val="Hyperlink"/>
            <w:rFonts w:ascii="Akrobat" w:eastAsia="Calibri" w:hAnsi="Akrobat" w:cs="Calibri"/>
          </w:rPr>
          <w:t>Fotosafari</w:t>
        </w:r>
      </w:hyperlink>
    </w:p>
    <w:p w14:paraId="3A0FE577" w14:textId="77777777" w:rsidR="008F4FE7" w:rsidRPr="008F4FE7" w:rsidRDefault="008F4FE7" w:rsidP="008F4FE7">
      <w:pPr>
        <w:rPr>
          <w:rFonts w:ascii="Akrobat" w:eastAsia="Calibri" w:hAnsi="Akrobat" w:cs="Calibri"/>
          <w:lang w:eastAsia="da-DK"/>
        </w:rPr>
      </w:pPr>
      <w:r w:rsidRPr="008F4FE7">
        <w:rPr>
          <w:rFonts w:ascii="Akrobat" w:eastAsia="Calibri" w:hAnsi="Akrobat" w:cs="Calibri"/>
          <w:lang w:eastAsia="da-DK"/>
        </w:rPr>
        <w:t>Elevernes egen erfaringsverden kobles til det faglige. Fotosafari som hjemmeopgave er let at gå til, alle elever kan deltage, opgaven inviterer eleverne til at gå på faglig opdagelse i sin egen verden, og opgaven kan endvidere skabe samtaler på hverdagssprog om fagligt indhold uden for klassen. Oplevelser, opdagelser og samtaler vil kvalificere elevens deltagelse i klassen efterfølgende.</w:t>
      </w:r>
    </w:p>
    <w:p w14:paraId="0EE2D249" w14:textId="77777777" w:rsidR="008F4FE7" w:rsidRPr="008F4FE7" w:rsidRDefault="008F4FE7" w:rsidP="008F4FE7">
      <w:pPr>
        <w:tabs>
          <w:tab w:val="left" w:pos="1560"/>
        </w:tabs>
        <w:rPr>
          <w:rFonts w:ascii="Akrobat" w:eastAsiaTheme="minorEastAsia" w:hAnsi="Akrobat"/>
          <w:b/>
          <w:bCs/>
        </w:rPr>
      </w:pPr>
      <w:r w:rsidRPr="008F4FE7">
        <w:rPr>
          <w:rFonts w:ascii="Akrobat" w:eastAsia="Calibri" w:hAnsi="Akrobat" w:cs="Calibri"/>
          <w:b/>
          <w:bCs/>
        </w:rPr>
        <w:t>Introforsøg -</w:t>
      </w:r>
      <w:r w:rsidRPr="008F4FE7">
        <w:rPr>
          <w:rFonts w:ascii="Akrobat" w:eastAsia="Calibri" w:hAnsi="Akrobat" w:cs="Calibri"/>
        </w:rPr>
        <w:t xml:space="preserve"> under de forskellige emner på hjemmesiden.</w:t>
      </w:r>
    </w:p>
    <w:p w14:paraId="2EA9FC02" w14:textId="77777777" w:rsidR="008F4FE7" w:rsidRPr="008F4FE7" w:rsidRDefault="008F4FE7" w:rsidP="008F4FE7">
      <w:pPr>
        <w:rPr>
          <w:rFonts w:ascii="Akrobat" w:eastAsia="Times New Roman" w:hAnsi="Akrobat" w:cs="Times New Roman"/>
          <w:sz w:val="24"/>
          <w:szCs w:val="24"/>
        </w:rPr>
      </w:pPr>
      <w:r w:rsidRPr="008F4FE7">
        <w:rPr>
          <w:rFonts w:ascii="Akrobat" w:eastAsia="Calibri" w:hAnsi="Akrobat" w:cs="Calibri"/>
        </w:rPr>
        <w:t xml:space="preserve">Eleverne danner sig førstehåndserfaringer gennem praktisk arbejde og har mulighed for sproglig aktivitet undervejs, når de arbejder sammen. Erfaringerne kan danne basis for genfortælling, formulering af hypoteser eller spørgsmål etc. </w:t>
      </w:r>
    </w:p>
    <w:p w14:paraId="4A35A920" w14:textId="77777777" w:rsidR="008F4FE7" w:rsidRPr="008F4FE7" w:rsidRDefault="008F4FE7" w:rsidP="008F4FE7">
      <w:pPr>
        <w:rPr>
          <w:rFonts w:ascii="Akrobat" w:eastAsiaTheme="minorEastAsia" w:hAnsi="Akrobat"/>
          <w:color w:val="0563C1"/>
        </w:rPr>
      </w:pPr>
      <w:hyperlink r:id="rId8">
        <w:r w:rsidRPr="008F4FE7">
          <w:rPr>
            <w:rStyle w:val="Hyperlink"/>
            <w:rFonts w:ascii="Akrobat" w:eastAsia="Calibri" w:hAnsi="Akrobat" w:cs="Calibri"/>
          </w:rPr>
          <w:t>Åben brainstorm</w:t>
        </w:r>
      </w:hyperlink>
      <w:r w:rsidRPr="008F4FE7">
        <w:rPr>
          <w:rFonts w:ascii="Akrobat" w:eastAsia="Calibri" w:hAnsi="Akrobat" w:cs="Calibri"/>
        </w:rPr>
        <w:t xml:space="preserve"> eller </w:t>
      </w:r>
      <w:hyperlink r:id="rId9">
        <w:r w:rsidRPr="008F4FE7">
          <w:rPr>
            <w:rStyle w:val="Hyperlink"/>
            <w:rFonts w:ascii="Akrobat" w:eastAsia="Calibri" w:hAnsi="Akrobat" w:cs="Calibri"/>
          </w:rPr>
          <w:t>Begrebsbrainstorm (rød, gul, grøn)</w:t>
        </w:r>
      </w:hyperlink>
    </w:p>
    <w:p w14:paraId="07A606A5" w14:textId="77777777" w:rsidR="008F4FE7" w:rsidRPr="008F4FE7" w:rsidRDefault="008F4FE7" w:rsidP="008F4FE7">
      <w:pPr>
        <w:rPr>
          <w:rFonts w:ascii="Akrobat" w:eastAsia="Calibri" w:hAnsi="Akrobat" w:cs="Calibri"/>
        </w:rPr>
      </w:pPr>
      <w:r w:rsidRPr="008F4FE7">
        <w:rPr>
          <w:rFonts w:ascii="Akrobat" w:eastAsia="Calibri" w:hAnsi="Akrobat" w:cs="Calibri"/>
          <w:lang w:eastAsia="da-DK"/>
        </w:rPr>
        <w:t xml:space="preserve">Eleverne kobler deres egne erfaringer til det faglige tema, sprogliggør og systematiserer deres egen forforståelse. </w:t>
      </w:r>
      <w:r w:rsidRPr="008F4FE7">
        <w:rPr>
          <w:rFonts w:ascii="Akrobat" w:hAnsi="Akrobat"/>
        </w:rPr>
        <w:br/>
      </w:r>
      <w:r w:rsidRPr="008F4FE7">
        <w:rPr>
          <w:rFonts w:ascii="Akrobat" w:eastAsia="Calibri" w:hAnsi="Akrobat" w:cs="Calibri"/>
          <w:lang w:eastAsia="da-DK"/>
        </w:rPr>
        <w:t>I kategoriseringen af begreber i rød-gul-grøn bliver det tydeligt for eleverne (og læreren) hvilke begreber der er centrale og skal tilegnes i forløbet, og i hvilken grad de er på plads. Eleverne er først i mål i den grønne zone, når de kan forklare fagbegreberne / anvende dem i en faglig kontekst.</w:t>
      </w:r>
    </w:p>
    <w:p w14:paraId="0759AF80" w14:textId="77777777" w:rsidR="008F4FE7" w:rsidRPr="008F4FE7" w:rsidRDefault="008F4FE7" w:rsidP="008F4FE7">
      <w:pPr>
        <w:rPr>
          <w:rFonts w:ascii="Akrobat" w:eastAsiaTheme="minorEastAsia" w:hAnsi="Akrobat"/>
        </w:rPr>
      </w:pPr>
      <w:hyperlink r:id="rId10">
        <w:r w:rsidRPr="008F4FE7">
          <w:rPr>
            <w:rStyle w:val="Hyperlink"/>
            <w:rFonts w:ascii="Akrobat" w:eastAsia="Calibri" w:hAnsi="Akrobat" w:cs="Calibri"/>
          </w:rPr>
          <w:t>Sandt eller falsk</w:t>
        </w:r>
      </w:hyperlink>
      <w:r w:rsidRPr="008F4FE7">
        <w:rPr>
          <w:rFonts w:ascii="Akrobat" w:eastAsia="Calibri" w:hAnsi="Akrobat" w:cs="Calibri"/>
        </w:rPr>
        <w:t xml:space="preserve"> (kan også spilles som Quiz eller rejs dig op/sæt dig ned)</w:t>
      </w:r>
    </w:p>
    <w:p w14:paraId="16AE86E3" w14:textId="77777777" w:rsidR="008F4FE7" w:rsidRPr="008F4FE7" w:rsidRDefault="008F4FE7" w:rsidP="008F4FE7">
      <w:pPr>
        <w:rPr>
          <w:rFonts w:ascii="Akrobat" w:eastAsiaTheme="minorEastAsia" w:hAnsi="Akrobat"/>
          <w:color w:val="0563C1"/>
        </w:rPr>
      </w:pPr>
      <w:r w:rsidRPr="008F4FE7">
        <w:rPr>
          <w:rFonts w:ascii="Akrobat" w:eastAsia="Calibri" w:hAnsi="Akrobat" w:cs="Calibri"/>
          <w:lang w:eastAsia="da-DK"/>
        </w:rPr>
        <w:t xml:space="preserve">Aktiviteten giver deltagelsesmuligheder for alle elever, fremmer deres faglige refleksioner og hypotesedannelser, og legitimerer at læreren kan spørge ind til deres stillingtagen. </w:t>
      </w:r>
      <w:hyperlink r:id="rId11">
        <w:r w:rsidRPr="008F4FE7">
          <w:rPr>
            <w:rStyle w:val="Hyperlink"/>
            <w:rFonts w:ascii="Akrobat" w:eastAsia="Calibri" w:hAnsi="Akrobat" w:cs="Calibri"/>
          </w:rPr>
          <w:t>Elever kan også selv lave påstande</w:t>
        </w:r>
      </w:hyperlink>
    </w:p>
    <w:p w14:paraId="40796D95" w14:textId="77777777" w:rsidR="008F4FE7" w:rsidRPr="008F4FE7" w:rsidRDefault="008F4FE7" w:rsidP="008F4FE7">
      <w:pPr>
        <w:rPr>
          <w:rFonts w:ascii="Akrobat" w:eastAsia="Calibri" w:hAnsi="Akrobat" w:cs="Calibri"/>
        </w:rPr>
      </w:pPr>
      <w:hyperlink r:id="rId12">
        <w:r w:rsidRPr="008F4FE7">
          <w:rPr>
            <w:rStyle w:val="Hyperlink"/>
            <w:rFonts w:ascii="Akrobat" w:eastAsia="Calibri" w:hAnsi="Akrobat" w:cs="Calibri"/>
            <w:b/>
            <w:bCs/>
          </w:rPr>
          <w:t>Billedcollage</w:t>
        </w:r>
      </w:hyperlink>
      <w:r w:rsidRPr="008F4FE7">
        <w:rPr>
          <w:rFonts w:ascii="Akrobat" w:eastAsia="Calibri" w:hAnsi="Akrobat" w:cs="Calibri"/>
        </w:rPr>
        <w:t xml:space="preserve"> - kan også laves som SpeedTalk.</w:t>
      </w:r>
    </w:p>
    <w:p w14:paraId="0D6DD309" w14:textId="77777777" w:rsidR="008F4FE7" w:rsidRPr="008F4FE7" w:rsidRDefault="008F4FE7" w:rsidP="008F4FE7">
      <w:pPr>
        <w:rPr>
          <w:rFonts w:ascii="Akrobat" w:eastAsiaTheme="minorEastAsia" w:hAnsi="Akrobat"/>
          <w:color w:val="0563C1"/>
        </w:rPr>
      </w:pPr>
      <w:hyperlink r:id="rId13">
        <w:r w:rsidRPr="008F4FE7">
          <w:rPr>
            <w:rStyle w:val="Hyperlink"/>
            <w:rFonts w:ascii="Akrobat" w:eastAsia="Calibri" w:hAnsi="Akrobat" w:cs="Calibri"/>
          </w:rPr>
          <w:t>Illustrér fænomen med tegninger</w:t>
        </w:r>
      </w:hyperlink>
    </w:p>
    <w:p w14:paraId="4945B4F2" w14:textId="77777777" w:rsidR="008F4FE7" w:rsidRPr="008F4FE7" w:rsidRDefault="008F4FE7" w:rsidP="008F4FE7">
      <w:pPr>
        <w:rPr>
          <w:rFonts w:ascii="Akrobat" w:eastAsiaTheme="minorEastAsia" w:hAnsi="Akrobat"/>
          <w:color w:val="0563C1"/>
        </w:rPr>
      </w:pPr>
      <w:r w:rsidRPr="008F4FE7">
        <w:rPr>
          <w:rFonts w:ascii="Akrobat" w:eastAsia="Calibri" w:hAnsi="Akrobat" w:cs="Calibri"/>
        </w:rPr>
        <w:t>Eleverne arbejder med indholdsforståelse gennem visualisering af et fagligt fænomen. De kan med fordel arbejde sammen om opgaven, så de kan udvikle deres faglige forståelser gennem samtale. De vil naturligt spørge, forklare og beskrive deres illustrationer undervejs. Læreren kan stilladsere brugen af fagsprog i efterfølgende elevpræsentationer.</w:t>
      </w:r>
    </w:p>
    <w:p w14:paraId="123B75FE" w14:textId="77777777" w:rsidR="008F4FE7" w:rsidRPr="008F4FE7" w:rsidRDefault="008F4FE7" w:rsidP="008F4FE7">
      <w:pPr>
        <w:rPr>
          <w:rFonts w:ascii="Akrobat" w:hAnsi="Akrobat"/>
          <w:color w:val="0563C1"/>
        </w:rPr>
      </w:pPr>
      <w:hyperlink r:id="rId14">
        <w:r w:rsidRPr="008F4FE7">
          <w:rPr>
            <w:rStyle w:val="Hyperlink"/>
            <w:rFonts w:ascii="Akrobat" w:eastAsia="Calibri" w:hAnsi="Akrobat" w:cs="Calibri"/>
          </w:rPr>
          <w:t>Find en, dér …</w:t>
        </w:r>
      </w:hyperlink>
      <w:r w:rsidRPr="008F4FE7">
        <w:rPr>
          <w:rFonts w:ascii="Akrobat" w:eastAsia="Calibri" w:hAnsi="Akrobat" w:cs="Calibri"/>
        </w:rPr>
        <w:t xml:space="preserve"> / </w:t>
      </w:r>
      <w:hyperlink r:id="rId15">
        <w:r w:rsidRPr="008F4FE7">
          <w:rPr>
            <w:rStyle w:val="Hyperlink"/>
            <w:rFonts w:ascii="Akrobat" w:eastAsia="Calibri" w:hAnsi="Akrobat" w:cs="Calibri"/>
          </w:rPr>
          <w:t>Ved du hvad</w:t>
        </w:r>
      </w:hyperlink>
    </w:p>
    <w:p w14:paraId="0E2A4F18" w14:textId="77777777" w:rsidR="008F4FE7" w:rsidRPr="008F4FE7" w:rsidRDefault="008F4FE7" w:rsidP="008F4FE7">
      <w:pPr>
        <w:rPr>
          <w:rFonts w:ascii="Akrobat" w:eastAsia="Calibri" w:hAnsi="Akrobat" w:cs="Calibri"/>
          <w:lang w:eastAsia="da-DK"/>
        </w:rPr>
      </w:pPr>
      <w:r w:rsidRPr="008F4FE7">
        <w:rPr>
          <w:rFonts w:ascii="Akrobat" w:eastAsia="Calibri" w:hAnsi="Akrobat" w:cs="Calibri"/>
          <w:lang w:eastAsia="da-DK"/>
        </w:rPr>
        <w:t xml:space="preserve">Alle eleverne er sprogligt aktive og opsøger og formidler faglig forståelse. Eleverne skal deltage, men presses ikke til at præstere foran læreren. De får og giver forklaringer, de nuancerer deres forståelser og får gentaget både begreber og </w:t>
      </w:r>
      <w:r w:rsidRPr="008F4FE7">
        <w:rPr>
          <w:rFonts w:ascii="Akrobat" w:eastAsia="Calibri" w:hAnsi="Akrobat" w:cs="Calibri"/>
          <w:lang w:eastAsia="da-DK"/>
        </w:rPr>
        <w:lastRenderedPageBreak/>
        <w:t xml:space="preserve">forklaringer. Der er tydeligt fokus på fagbegreber, og eleverne bliver opmærksomme på </w:t>
      </w:r>
      <w:proofErr w:type="spellStart"/>
      <w:r w:rsidRPr="008F4FE7">
        <w:rPr>
          <w:rFonts w:ascii="Akrobat" w:eastAsia="Calibri" w:hAnsi="Akrobat" w:cs="Calibri"/>
          <w:lang w:eastAsia="da-DK"/>
        </w:rPr>
        <w:t>evt</w:t>
      </w:r>
      <w:proofErr w:type="spellEnd"/>
      <w:r w:rsidRPr="008F4FE7">
        <w:rPr>
          <w:rFonts w:ascii="Akrobat" w:eastAsia="Calibri" w:hAnsi="Akrobat" w:cs="Calibri"/>
          <w:lang w:eastAsia="da-DK"/>
        </w:rPr>
        <w:t xml:space="preserve"> spørgsmål eller misforståelser.</w:t>
      </w:r>
    </w:p>
    <w:p w14:paraId="0828F994" w14:textId="77777777" w:rsidR="008F4FE7" w:rsidRPr="008F4FE7" w:rsidRDefault="008F4FE7" w:rsidP="008F4FE7">
      <w:pPr>
        <w:rPr>
          <w:rFonts w:ascii="Akrobat" w:eastAsiaTheme="minorEastAsia" w:hAnsi="Akrobat"/>
          <w:color w:val="0563C1"/>
        </w:rPr>
      </w:pPr>
      <w:hyperlink r:id="rId16">
        <w:r w:rsidRPr="008F4FE7">
          <w:rPr>
            <w:rStyle w:val="Hyperlink"/>
            <w:rFonts w:ascii="Akrobat" w:eastAsia="Calibri" w:hAnsi="Akrobat" w:cs="Calibri"/>
          </w:rPr>
          <w:t>Hvad kan jeg se</w:t>
        </w:r>
      </w:hyperlink>
    </w:p>
    <w:p w14:paraId="26FB5C8A" w14:textId="77777777" w:rsidR="008F4FE7" w:rsidRPr="008F4FE7" w:rsidRDefault="008F4FE7" w:rsidP="008F4FE7">
      <w:pPr>
        <w:rPr>
          <w:rFonts w:ascii="Akrobat" w:eastAsia="Calibri" w:hAnsi="Akrobat" w:cs="Calibri"/>
          <w:lang w:eastAsia="da-DK"/>
        </w:rPr>
      </w:pPr>
      <w:r w:rsidRPr="008F4FE7">
        <w:rPr>
          <w:rFonts w:ascii="Akrobat" w:eastAsia="Calibri" w:hAnsi="Akrobat" w:cs="Calibri"/>
          <w:lang w:eastAsia="da-DK"/>
        </w:rPr>
        <w:t>Eleverne stilladseres til at rette opmærksomheden på relevante elementer i en illustration eller model, og skal samtale om det faglige indhold under opgaveløsningen. Deres besvarelser danner udgangspunkt for gennemgang og samtale i klassen.</w:t>
      </w:r>
    </w:p>
    <w:p w14:paraId="1419CF56" w14:textId="77777777" w:rsidR="008F4FE7" w:rsidRPr="008F4FE7" w:rsidRDefault="008F4FE7" w:rsidP="008F4FE7">
      <w:pPr>
        <w:rPr>
          <w:rFonts w:ascii="Akrobat" w:eastAsiaTheme="minorEastAsia" w:hAnsi="Akrobat"/>
          <w:color w:val="0563C1"/>
        </w:rPr>
      </w:pPr>
      <w:hyperlink r:id="rId17">
        <w:r w:rsidRPr="008F4FE7">
          <w:rPr>
            <w:rStyle w:val="Hyperlink"/>
            <w:rFonts w:ascii="Akrobat" w:eastAsia="Calibri" w:hAnsi="Akrobat" w:cs="Calibri"/>
          </w:rPr>
          <w:t>Rød, gul, grøn på fagbegreber</w:t>
        </w:r>
      </w:hyperlink>
    </w:p>
    <w:p w14:paraId="3D33C85F" w14:textId="355329A5" w:rsidR="008F4FE7" w:rsidRPr="008F4FE7" w:rsidRDefault="008F4FE7" w:rsidP="008F4FE7">
      <w:pPr>
        <w:rPr>
          <w:rFonts w:ascii="Akrobat" w:eastAsia="Calibri" w:hAnsi="Akrobat" w:cs="Calibri"/>
          <w:lang w:eastAsia="da-DK"/>
        </w:rPr>
      </w:pPr>
      <w:r w:rsidRPr="008F4FE7">
        <w:rPr>
          <w:rFonts w:ascii="Akrobat" w:eastAsia="Calibri" w:hAnsi="Akrobat" w:cs="Calibri"/>
          <w:lang w:eastAsia="da-DK"/>
        </w:rPr>
        <w:t>Fagbegreberne kommer i tydeligt fokus, og eleverne kan tage temperaturen på deres egen begrebsforståelse. Øvelsen kan med fordel gennemføres som samtaleopgave, hvor begreber der placeres i grøn kategori skal forklares mundtligt eller skriftligt. Øvelsen kan evt</w:t>
      </w:r>
      <w:r>
        <w:rPr>
          <w:rFonts w:ascii="Akrobat" w:eastAsia="Calibri" w:hAnsi="Akrobat" w:cs="Calibri"/>
          <w:lang w:eastAsia="da-DK"/>
        </w:rPr>
        <w:t>.</w:t>
      </w:r>
      <w:r w:rsidRPr="008F4FE7">
        <w:rPr>
          <w:rFonts w:ascii="Akrobat" w:eastAsia="Calibri" w:hAnsi="Akrobat" w:cs="Calibri"/>
          <w:lang w:eastAsia="da-DK"/>
        </w:rPr>
        <w:t xml:space="preserve"> gennemføres både i forløbets begyndelse, og som afsluttende evaluering. Det bliver dermed tydeligt for eleverne hvilke begreber de har lært.</w:t>
      </w:r>
    </w:p>
    <w:p w14:paraId="069AABD9" w14:textId="77777777" w:rsidR="008F4FE7" w:rsidRPr="008F4FE7" w:rsidRDefault="008F4FE7" w:rsidP="008F4FE7">
      <w:pPr>
        <w:rPr>
          <w:rFonts w:ascii="Akrobat" w:eastAsiaTheme="minorEastAsia" w:hAnsi="Akrobat"/>
          <w:color w:val="0563C1"/>
          <w:u w:val="single"/>
        </w:rPr>
      </w:pPr>
      <w:hyperlink r:id="rId18">
        <w:r w:rsidRPr="008F4FE7">
          <w:rPr>
            <w:rStyle w:val="Hyperlink"/>
            <w:rFonts w:ascii="Akrobat" w:eastAsia="Calibri" w:hAnsi="Akrobat" w:cs="Calibri"/>
          </w:rPr>
          <w:t>Dialogcirklen</w:t>
        </w:r>
      </w:hyperlink>
      <w:r w:rsidRPr="008F4FE7">
        <w:rPr>
          <w:rFonts w:ascii="Akrobat" w:eastAsia="Calibri" w:hAnsi="Akrobat" w:cs="Calibri"/>
        </w:rPr>
        <w:t>- kan også laves som SpeedTalk</w:t>
      </w:r>
    </w:p>
    <w:p w14:paraId="76BF544F" w14:textId="77777777" w:rsidR="008F4FE7" w:rsidRPr="008F4FE7" w:rsidRDefault="008F4FE7" w:rsidP="008F4FE7">
      <w:pPr>
        <w:rPr>
          <w:rFonts w:ascii="Akrobat" w:eastAsiaTheme="minorEastAsia" w:hAnsi="Akrobat"/>
        </w:rPr>
      </w:pPr>
      <w:r w:rsidRPr="008F4FE7">
        <w:rPr>
          <w:rFonts w:ascii="Akrobat" w:eastAsiaTheme="minorEastAsia" w:hAnsi="Akrobat"/>
        </w:rPr>
        <w:t>Alle elever har deltagelsesmulighed og alle elever kommer til orde. Der er plads til alle elevers frie associationer og deres forforståelse aktiveres som afsæt for videre undervisning.</w:t>
      </w:r>
    </w:p>
    <w:p w14:paraId="2512488C" w14:textId="77777777" w:rsidR="008F4FE7" w:rsidRPr="008F4FE7" w:rsidRDefault="008F4FE7" w:rsidP="008F4FE7">
      <w:pPr>
        <w:rPr>
          <w:rFonts w:ascii="Akrobat" w:eastAsiaTheme="minorEastAsia" w:hAnsi="Akrobat"/>
          <w:color w:val="0563C1"/>
        </w:rPr>
      </w:pPr>
      <w:hyperlink r:id="rId19">
        <w:r w:rsidRPr="008F4FE7">
          <w:rPr>
            <w:rStyle w:val="Hyperlink"/>
            <w:rFonts w:ascii="Akrobat" w:eastAsia="Calibri" w:hAnsi="Akrobat" w:cs="Calibri"/>
          </w:rPr>
          <w:t>Fra ord til symboler</w:t>
        </w:r>
      </w:hyperlink>
    </w:p>
    <w:p w14:paraId="4975E16D" w14:textId="77777777" w:rsidR="008F4FE7" w:rsidRPr="008F4FE7" w:rsidRDefault="008F4FE7" w:rsidP="008F4FE7">
      <w:pPr>
        <w:rPr>
          <w:rFonts w:ascii="Akrobat" w:eastAsia="Calibri" w:hAnsi="Akrobat" w:cs="Calibri"/>
          <w:lang w:eastAsia="da-DK"/>
        </w:rPr>
      </w:pPr>
      <w:r w:rsidRPr="008F4FE7">
        <w:rPr>
          <w:rFonts w:ascii="Akrobat" w:eastAsia="Calibri" w:hAnsi="Akrobat" w:cs="Calibri"/>
          <w:lang w:eastAsia="da-DK"/>
        </w:rPr>
        <w:t>Det faglige indhold visualiseres og kobles til elevernes erfaringsverden som afsæt for forståelse af symbolers funktion. Det tydeliggøres at eleverne selv skal producere fagsprog, da målet er elevernes egen beskrivelse af en proces.</w:t>
      </w:r>
    </w:p>
    <w:p w14:paraId="4A55DFC6" w14:textId="77777777" w:rsidR="008F4FE7" w:rsidRPr="008F4FE7" w:rsidRDefault="008F4FE7" w:rsidP="008F4FE7">
      <w:pPr>
        <w:rPr>
          <w:rFonts w:ascii="Akrobat" w:eastAsiaTheme="minorEastAsia" w:hAnsi="Akrobat"/>
          <w:color w:val="0563C1"/>
        </w:rPr>
      </w:pPr>
      <w:hyperlink r:id="rId20">
        <w:r w:rsidRPr="008F4FE7">
          <w:rPr>
            <w:rStyle w:val="Hyperlink"/>
            <w:rFonts w:ascii="Akrobat" w:eastAsia="Calibri" w:hAnsi="Akrobat" w:cs="Calibri"/>
          </w:rPr>
          <w:t>Tegn og gæt</w:t>
        </w:r>
      </w:hyperlink>
    </w:p>
    <w:p w14:paraId="5B768C37" w14:textId="77777777" w:rsidR="003E6D4C" w:rsidRPr="008F4FE7" w:rsidRDefault="008F4FE7" w:rsidP="008F4FE7">
      <w:pPr>
        <w:rPr>
          <w:rFonts w:ascii="Akrobat" w:hAnsi="Akrobat"/>
        </w:rPr>
      </w:pPr>
      <w:r w:rsidRPr="008F4FE7">
        <w:rPr>
          <w:rFonts w:ascii="Akrobat" w:eastAsia="Calibri" w:hAnsi="Akrobat" w:cs="Calibri"/>
          <w:lang w:eastAsia="da-DK"/>
        </w:rPr>
        <w:t>Eleverne får tid til at tænke, omsætte deres viden til visuelt udtryk, og aktiveres sprogligt og fagligt, idet de må dele opfattelse af betydning for at kunne samarbejde.</w:t>
      </w:r>
    </w:p>
    <w:sectPr w:rsidR="003E6D4C" w:rsidRPr="008F4FE7" w:rsidSect="00454DB2">
      <w:headerReference w:type="default" r:id="rId21"/>
      <w:pgSz w:w="11906" w:h="16838"/>
      <w:pgMar w:top="193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6C85" w14:textId="77777777" w:rsidR="00583561" w:rsidRDefault="00583561" w:rsidP="00454DB2">
      <w:pPr>
        <w:spacing w:after="0" w:line="240" w:lineRule="auto"/>
      </w:pPr>
      <w:r>
        <w:separator/>
      </w:r>
    </w:p>
  </w:endnote>
  <w:endnote w:type="continuationSeparator" w:id="0">
    <w:p w14:paraId="29B7509F" w14:textId="77777777" w:rsidR="00583561" w:rsidRDefault="00583561" w:rsidP="0045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robat ExtraBold">
    <w:panose1 w:val="00000900000000000000"/>
    <w:charset w:val="4D"/>
    <w:family w:val="auto"/>
    <w:notTrueType/>
    <w:pitch w:val="variable"/>
    <w:sig w:usb0="00000207" w:usb1="00000000" w:usb2="00000000" w:usb3="00000000" w:csb0="00000097" w:csb1="00000000"/>
  </w:font>
  <w:font w:name="Akrobat">
    <w:panose1 w:val="000005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2223" w14:textId="77777777" w:rsidR="00583561" w:rsidRDefault="00583561" w:rsidP="00454DB2">
      <w:pPr>
        <w:spacing w:after="0" w:line="240" w:lineRule="auto"/>
      </w:pPr>
      <w:r>
        <w:separator/>
      </w:r>
    </w:p>
  </w:footnote>
  <w:footnote w:type="continuationSeparator" w:id="0">
    <w:p w14:paraId="3E7B6B3D" w14:textId="77777777" w:rsidR="00583561" w:rsidRDefault="00583561" w:rsidP="0045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70E" w14:textId="473E4D03" w:rsidR="00454DB2" w:rsidRDefault="00454DB2" w:rsidP="00454DB2">
    <w:pPr>
      <w:pStyle w:val="Sidehoved"/>
      <w:jc w:val="center"/>
    </w:pPr>
    <w:r>
      <w:rPr>
        <w:rFonts w:ascii="Akrobat ExtraBold" w:eastAsia="Calibri" w:hAnsi="Akrobat ExtraBold" w:cs="Calibri"/>
        <w:b/>
        <w:bCs/>
        <w:noProof/>
        <w:color w:val="000000" w:themeColor="text1"/>
        <w:sz w:val="48"/>
        <w:szCs w:val="48"/>
      </w:rPr>
      <w:drawing>
        <wp:inline distT="0" distB="0" distL="0" distR="0" wp14:anchorId="3C1D4BEC" wp14:editId="4AF682C9">
          <wp:extent cx="3037754" cy="468320"/>
          <wp:effectExtent l="0" t="0" r="0" b="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080199" cy="474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7"/>
    <w:rsid w:val="00454DB2"/>
    <w:rsid w:val="00583561"/>
    <w:rsid w:val="008F4FE7"/>
    <w:rsid w:val="00916A41"/>
    <w:rsid w:val="00C113FF"/>
    <w:rsid w:val="00C23BD3"/>
    <w:rsid w:val="00D44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5B0B1C"/>
  <w15:chartTrackingRefBased/>
  <w15:docId w15:val="{AC1294B5-C104-E54D-AA49-C6B4419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E7"/>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F4FE7"/>
    <w:rPr>
      <w:color w:val="0563C1" w:themeColor="hyperlink"/>
      <w:u w:val="single"/>
    </w:rPr>
  </w:style>
  <w:style w:type="paragraph" w:styleId="Sidehoved">
    <w:name w:val="header"/>
    <w:basedOn w:val="Normal"/>
    <w:link w:val="SidehovedTegn"/>
    <w:uiPriority w:val="99"/>
    <w:unhideWhenUsed/>
    <w:rsid w:val="00454D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4DB2"/>
    <w:rPr>
      <w:sz w:val="22"/>
      <w:szCs w:val="22"/>
    </w:rPr>
  </w:style>
  <w:style w:type="paragraph" w:styleId="Sidefod">
    <w:name w:val="footer"/>
    <w:basedOn w:val="Normal"/>
    <w:link w:val="SidefodTegn"/>
    <w:uiPriority w:val="99"/>
    <w:unhideWhenUsed/>
    <w:rsid w:val="00454D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4D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science.dk/fag/aktivitetsrum/ellaere/cG9zdDoyMTg=" TargetMode="External"/><Relationship Id="rId13" Type="http://schemas.openxmlformats.org/officeDocument/2006/relationships/hyperlink" Target="https://mbscience.dk/fag/aktivitetsrum/det-globale-vindsystem/cG9zdDo3OTE=" TargetMode="External"/><Relationship Id="rId18" Type="http://schemas.openxmlformats.org/officeDocument/2006/relationships/hyperlink" Target="https://mbscience.dk/fag/aktivitetsrum/sexologi-a1a/cG9zdDoxMDMz"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bscience.dk/fag/aktivitetsrum/ellaere/cG9zdDoxOTQ=" TargetMode="External"/><Relationship Id="rId12" Type="http://schemas.openxmlformats.org/officeDocument/2006/relationships/hyperlink" Target="https://mbscience.dk/fag/aktivitetsrum/det-globale-vindsystem/cG9zdDo3ODQ=" TargetMode="External"/><Relationship Id="rId17" Type="http://schemas.openxmlformats.org/officeDocument/2006/relationships/hyperlink" Target="https://mbscience.dk/fag/aktivitetsrum/dna-og-proteinsyntese/cG9zdDoxMTA3" TargetMode="External"/><Relationship Id="rId2" Type="http://schemas.openxmlformats.org/officeDocument/2006/relationships/settings" Target="settings.xml"/><Relationship Id="rId16" Type="http://schemas.openxmlformats.org/officeDocument/2006/relationships/hyperlink" Target="https://mbscience.dk/fag/aktivitetsrum/det-globale-vindsystem/cG9zdDo4MTk=" TargetMode="External"/><Relationship Id="rId20" Type="http://schemas.openxmlformats.org/officeDocument/2006/relationships/hyperlink" Target="https://mbscience.dk/fag/aktivitetsrum/periodesystemet/cG9zdDoxMjIy" TargetMode="External"/><Relationship Id="rId1" Type="http://schemas.openxmlformats.org/officeDocument/2006/relationships/styles" Target="styles.xml"/><Relationship Id="rId6" Type="http://schemas.openxmlformats.org/officeDocument/2006/relationships/hyperlink" Target="https://mbscience.dk/fag/aktivitetsrum/ellaere/cG9zdDozOTE=" TargetMode="External"/><Relationship Id="rId11" Type="http://schemas.openxmlformats.org/officeDocument/2006/relationships/hyperlink" Target="https://mbscience.dk/fag/aktivitetsrum/sexologi-a1a/cG9zdDoxMDE3" TargetMode="External"/><Relationship Id="rId5" Type="http://schemas.openxmlformats.org/officeDocument/2006/relationships/endnotes" Target="endnotes.xml"/><Relationship Id="rId15" Type="http://schemas.openxmlformats.org/officeDocument/2006/relationships/hyperlink" Target="https://sites.google.com/site/elevaktiveringimatematik/mundtlighed/ved-du-hvad" TargetMode="External"/><Relationship Id="rId23" Type="http://schemas.openxmlformats.org/officeDocument/2006/relationships/theme" Target="theme/theme1.xml"/><Relationship Id="rId10" Type="http://schemas.openxmlformats.org/officeDocument/2006/relationships/hyperlink" Target="https://mbscience.dk/fag/aktivitetsrum/ellaere/cG9zdDoyMTI=" TargetMode="External"/><Relationship Id="rId19" Type="http://schemas.openxmlformats.org/officeDocument/2006/relationships/hyperlink" Target="https://mbscience.dk/fag/aktivitetsrum/maengdeberegning/cG9zdDoyMzk=" TargetMode="External"/><Relationship Id="rId4" Type="http://schemas.openxmlformats.org/officeDocument/2006/relationships/footnotes" Target="footnotes.xml"/><Relationship Id="rId9" Type="http://schemas.openxmlformats.org/officeDocument/2006/relationships/hyperlink" Target="https://mbscience.dk/fag/aktivitetsrum/celler/cG9zdDo4Mzg=" TargetMode="External"/><Relationship Id="rId14" Type="http://schemas.openxmlformats.org/officeDocument/2006/relationships/hyperlink" Target="https://mbscience.dk/fag/aktivitetsrum/det-globale-vindsystem/cG9zdDo4MD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5111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Højrup Sørensen</dc:creator>
  <cp:keywords/>
  <dc:description/>
  <cp:lastModifiedBy>Louise Højrup Sørensen</cp:lastModifiedBy>
  <cp:revision>2</cp:revision>
  <dcterms:created xsi:type="dcterms:W3CDTF">2022-06-23T06:44:00Z</dcterms:created>
  <dcterms:modified xsi:type="dcterms:W3CDTF">2022-06-23T06:51:00Z</dcterms:modified>
</cp:coreProperties>
</file>